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1" w:rsidRPr="00FE2B96" w:rsidRDefault="00154D01" w:rsidP="00154D01">
      <w:pPr>
        <w:spacing w:before="240" w:line="440" w:lineRule="atLeast"/>
        <w:rPr>
          <w:rFonts w:ascii="仿宋_GB2312" w:eastAsia="仿宋_GB2312" w:hAnsi="仿宋_GB2312" w:cs="仿宋_GB2312"/>
          <w:b/>
          <w:bCs/>
          <w:sz w:val="24"/>
        </w:rPr>
      </w:pPr>
      <w:bookmarkStart w:id="0" w:name="_GoBack"/>
      <w:bookmarkEnd w:id="0"/>
      <w:r w:rsidRPr="00FE2B96">
        <w:rPr>
          <w:rFonts w:ascii="仿宋_GB2312" w:eastAsia="仿宋_GB2312" w:hAnsi="仿宋_GB2312" w:cs="仿宋_GB2312" w:hint="eastAsia"/>
          <w:b/>
          <w:bCs/>
          <w:sz w:val="24"/>
        </w:rPr>
        <w:t>附件一：</w:t>
      </w:r>
    </w:p>
    <w:p w:rsidR="00154D01" w:rsidRDefault="00154D01" w:rsidP="00154D01">
      <w:pPr>
        <w:spacing w:before="240" w:line="440" w:lineRule="atLeas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供应商参加教育部门采购活动廉洁承诺书【格式】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一、为了保证教育部门采购活动的公平竞争，促进廉政建设，我公司承诺在参加政府采购活动时做到遵守法纪、法规和廉政建设各项规定，诚实守信，坚决拒绝商业贿赂，不发生如下不当行为：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  <w:r>
        <w:rPr>
          <w:rFonts w:ascii="仿宋_GB2312" w:eastAsia="仿宋_GB2312" w:hAnsi="宋体"/>
          <w:sz w:val="28"/>
        </w:rPr>
        <w:t xml:space="preserve"> 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（三）违反法律、法规和廉政规定，影响工程质量和供应质量的。</w:t>
      </w:r>
      <w:r>
        <w:rPr>
          <w:rFonts w:ascii="仿宋_GB2312" w:eastAsia="仿宋_GB2312" w:hAnsi="宋体"/>
          <w:sz w:val="28"/>
        </w:rPr>
        <w:t> 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154D01" w:rsidRPr="00FE2B96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154D01" w:rsidRDefault="00154D01" w:rsidP="00154D01">
      <w:pPr>
        <w:spacing w:line="440" w:lineRule="atLeast"/>
        <w:ind w:right="700" w:firstLineChars="1300" w:firstLine="4030"/>
        <w:rPr>
          <w:rFonts w:ascii="仿宋_GB2312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承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诺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人：</w:t>
      </w:r>
    </w:p>
    <w:p w:rsidR="00154D01" w:rsidRDefault="00154D01" w:rsidP="00154D01">
      <w:pPr>
        <w:spacing w:line="440" w:lineRule="atLeast"/>
        <w:ind w:right="700" w:firstLineChars="1300" w:firstLine="4030"/>
        <w:rPr>
          <w:rFonts w:ascii="仿宋_GB2312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承诺单位：</w:t>
      </w:r>
    </w:p>
    <w:p w:rsidR="00154D01" w:rsidRDefault="00154D01" w:rsidP="00154D01">
      <w:pPr>
        <w:wordWrap w:val="0"/>
        <w:spacing w:line="440" w:lineRule="atLeast"/>
        <w:ind w:right="566"/>
        <w:jc w:val="right"/>
        <w:rPr>
          <w:rFonts w:ascii="宋体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日</w:t>
      </w:r>
      <w:r>
        <w:rPr>
          <w:rFonts w:ascii="宋体" w:eastAsia="仿宋_GB2312" w:hAnsi="宋体"/>
          <w:color w:val="000000"/>
          <w:spacing w:val="15"/>
          <w:sz w:val="28"/>
          <w:szCs w:val="28"/>
        </w:rPr>
        <w:t> </w:t>
      </w:r>
    </w:p>
    <w:p w:rsidR="00E81E5B" w:rsidRDefault="00E81E5B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附件二：</w:t>
      </w:r>
    </w:p>
    <w:p w:rsidR="00154D01" w:rsidRDefault="00154D01" w:rsidP="00154D01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  <w:bookmarkStart w:id="1" w:name="_Toc263682549"/>
      <w:bookmarkStart w:id="2" w:name="_Toc263757451"/>
      <w:bookmarkStart w:id="3" w:name="_Toc263685980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154D01" w:rsidRDefault="00154D01" w:rsidP="00154D01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right="21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兹委托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</w:rPr>
        <w:t>参加贵单位组织的</w:t>
      </w:r>
      <w:r>
        <w:rPr>
          <w:rFonts w:ascii="仿宋_GB2312" w:eastAsia="仿宋_GB2312"/>
          <w:sz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8"/>
        </w:rPr>
        <w:t>询价采购活动</w:t>
      </w:r>
      <w:r>
        <w:rPr>
          <w:rFonts w:ascii="仿宋_GB2312" w:eastAsia="仿宋_GB2312"/>
          <w:sz w:val="28"/>
        </w:rPr>
        <w:t>(</w:t>
      </w: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/>
          <w:sz w:val="28"/>
          <w:szCs w:val="28"/>
          <w:u w:val="single"/>
        </w:rPr>
        <w:t xml:space="preserve"> NTZZ201</w:t>
      </w:r>
      <w:r>
        <w:rPr>
          <w:rFonts w:ascii="仿宋_GB2312" w:eastAsia="仿宋_GB2312" w:hint="eastAsia"/>
          <w:sz w:val="28"/>
          <w:szCs w:val="28"/>
          <w:u w:val="single"/>
        </w:rPr>
        <w:t>6XJ017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</w:rPr>
        <w:t>)</w:t>
      </w:r>
      <w:r>
        <w:rPr>
          <w:rFonts w:ascii="仿宋_GB2312" w:eastAsia="仿宋_GB2312" w:hint="eastAsia"/>
          <w:sz w:val="28"/>
        </w:rPr>
        <w:t>，全权代表我单位处理有关事宜。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/>
          <w:sz w:val="28"/>
        </w:rPr>
        <w:t xml:space="preserve">        </w:t>
      </w:r>
      <w:r>
        <w:rPr>
          <w:rFonts w:ascii="仿宋_GB2312" w:eastAsia="仿宋_GB2312" w:hint="eastAsia"/>
          <w:sz w:val="28"/>
        </w:rPr>
        <w:t>性别：</w:t>
      </w: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年龄：</w:t>
      </w:r>
      <w:r>
        <w:rPr>
          <w:rFonts w:ascii="仿宋_GB2312" w:eastAsia="仿宋_GB2312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>职务：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</w:t>
      </w:r>
      <w:r>
        <w:rPr>
          <w:rFonts w:ascii="仿宋_GB2312" w:eastAsia="仿宋_GB2312"/>
          <w:sz w:val="28"/>
        </w:rPr>
        <w:t xml:space="preserve">                       </w:t>
      </w:r>
      <w:r>
        <w:rPr>
          <w:rFonts w:ascii="仿宋_GB2312" w:eastAsia="仿宋_GB2312" w:hint="eastAsia"/>
          <w:sz w:val="28"/>
        </w:rPr>
        <w:t>传真：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</w:t>
      </w:r>
      <w:r>
        <w:rPr>
          <w:rFonts w:ascii="仿宋_GB2312" w:eastAsia="仿宋_GB2312"/>
          <w:sz w:val="28"/>
        </w:rPr>
        <w:t xml:space="preserve">                  </w:t>
      </w:r>
      <w:r>
        <w:rPr>
          <w:rFonts w:ascii="仿宋_GB2312" w:eastAsia="仿宋_GB2312" w:hint="eastAsia"/>
          <w:sz w:val="28"/>
        </w:rPr>
        <w:t>法定代表人（签字）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/>
          <w:sz w:val="28"/>
        </w:rPr>
        <w:t xml:space="preserve">              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154D01" w:rsidRDefault="00154D01" w:rsidP="00154D01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（说明：法定代表人参加竞谈，不用此委托书）</w:t>
      </w: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54D01" w:rsidRDefault="00154D01" w:rsidP="00154D01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附件三：</w:t>
      </w:r>
      <w:r>
        <w:rPr>
          <w:rFonts w:ascii="仿宋_GB2312" w:eastAsia="仿宋_GB2312" w:hAnsi="仿宋_GB2312" w:cs="仿宋_GB2312"/>
          <w:b/>
          <w:bCs/>
          <w:sz w:val="24"/>
        </w:rPr>
        <w:t xml:space="preserve"> </w:t>
      </w:r>
    </w:p>
    <w:p w:rsidR="00154D01" w:rsidRPr="00A72B94" w:rsidRDefault="00154D01" w:rsidP="00154D01">
      <w:pPr>
        <w:pStyle w:val="a6"/>
        <w:spacing w:before="0" w:beforeAutospacing="0" w:after="0" w:afterAutospacing="0"/>
        <w:jc w:val="center"/>
        <w:rPr>
          <w:b/>
          <w:szCs w:val="28"/>
        </w:rPr>
      </w:pPr>
      <w:r w:rsidRPr="00A72B94">
        <w:rPr>
          <w:rFonts w:ascii="仿宋_GB2312" w:eastAsia="仿宋_GB2312" w:hAnsi="仿宋_GB2312" w:cs="仿宋_GB2312" w:hint="eastAsia"/>
          <w:b/>
          <w:bCs/>
          <w:szCs w:val="28"/>
        </w:rPr>
        <w:t>（一）</w:t>
      </w:r>
      <w:r w:rsidRPr="00A72B94">
        <w:rPr>
          <w:rFonts w:hint="eastAsia"/>
          <w:b/>
          <w:szCs w:val="28"/>
        </w:rPr>
        <w:t>南通中专机电省赛监控</w:t>
      </w:r>
      <w:r w:rsidRPr="00A72B94">
        <w:rPr>
          <w:b/>
          <w:szCs w:val="28"/>
        </w:rPr>
        <w:t>项目</w:t>
      </w:r>
      <w:r w:rsidR="00573215">
        <w:rPr>
          <w:rFonts w:hint="eastAsia"/>
          <w:b/>
          <w:szCs w:val="28"/>
        </w:rPr>
        <w:t>材料清单</w:t>
      </w:r>
    </w:p>
    <w:tbl>
      <w:tblPr>
        <w:tblW w:w="9983" w:type="dxa"/>
        <w:tblInd w:w="-79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2"/>
        <w:gridCol w:w="2879"/>
        <w:gridCol w:w="1151"/>
        <w:gridCol w:w="1007"/>
        <w:gridCol w:w="4174"/>
      </w:tblGrid>
      <w:tr w:rsidR="00573215" w:rsidRPr="00573215" w:rsidTr="00573215">
        <w:trPr>
          <w:trHeight w:val="49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项目内容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 xml:space="preserve">说明 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网络枪式摄像机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DS-2CD5A24EFWD-IZ(H)(S）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摄像机支架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铝合金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摄像机电源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proofErr w:type="gramStart"/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AC 12V-3A 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电源线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金城RVV2*2.5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网络线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金城超五类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交换机（机房设备）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TP-LINK 8口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硬盘录像机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proofErr w:type="gramStart"/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海康威视4路</w:t>
            </w:r>
            <w:proofErr w:type="gramEnd"/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网络4K高清监控硬盘录像机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显示器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三星21.5寸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监控硬盘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西部数据 4T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固态硬盘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三星移动固态硬盘T3  500G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线管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三德</w:t>
            </w:r>
          </w:p>
        </w:tc>
      </w:tr>
      <w:tr w:rsidR="00573215" w:rsidRPr="00573215" w:rsidTr="00573215">
        <w:trPr>
          <w:trHeight w:val="56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</w:rPr>
              <w:t>安装 调试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573215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573215" w:rsidRDefault="00573215" w:rsidP="00A36C3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</w:tbl>
    <w:p w:rsidR="0091454F" w:rsidRPr="00A72B94" w:rsidRDefault="0091454F" w:rsidP="0091454F">
      <w:pPr>
        <w:pStyle w:val="a6"/>
        <w:rPr>
          <w:b/>
          <w:szCs w:val="28"/>
        </w:rPr>
      </w:pPr>
      <w:r w:rsidRPr="00A72B94">
        <w:rPr>
          <w:rFonts w:hint="eastAsia"/>
          <w:b/>
          <w:szCs w:val="28"/>
        </w:rPr>
        <w:t>（二）售后服务需求：</w:t>
      </w:r>
    </w:p>
    <w:p w:rsidR="0091454F" w:rsidRDefault="0091454F" w:rsidP="0091454F">
      <w:pPr>
        <w:pStyle w:val="a6"/>
        <w:rPr>
          <w:b/>
          <w:szCs w:val="30"/>
        </w:rPr>
      </w:pPr>
      <w:r>
        <w:rPr>
          <w:rFonts w:hint="eastAsia"/>
          <w:b/>
          <w:szCs w:val="30"/>
        </w:rPr>
        <w:t>1、自中标之日起一周内供货安装完毕。</w:t>
      </w:r>
    </w:p>
    <w:p w:rsidR="0091454F" w:rsidRPr="0091454F" w:rsidRDefault="0091454F" w:rsidP="0091454F">
      <w:pPr>
        <w:pStyle w:val="a6"/>
        <w:rPr>
          <w:b/>
          <w:szCs w:val="30"/>
        </w:rPr>
      </w:pPr>
      <w:r>
        <w:rPr>
          <w:rFonts w:hint="eastAsia"/>
          <w:b/>
          <w:szCs w:val="30"/>
        </w:rPr>
        <w:t>2、</w:t>
      </w:r>
      <w:r w:rsidRPr="0091454F">
        <w:rPr>
          <w:rFonts w:hint="eastAsia"/>
          <w:b/>
          <w:szCs w:val="30"/>
        </w:rPr>
        <w:t>自安装调试验收完毕之日起免费保修叁年。接到用户通知，保证24小时内维修完毕（无客观特殊情况）。</w:t>
      </w:r>
    </w:p>
    <w:p w:rsidR="0091454F" w:rsidRPr="0091454F" w:rsidRDefault="0091454F" w:rsidP="0091454F">
      <w:pPr>
        <w:pStyle w:val="a6"/>
        <w:rPr>
          <w:b/>
          <w:szCs w:val="30"/>
        </w:rPr>
      </w:pPr>
      <w:r>
        <w:rPr>
          <w:rFonts w:hint="eastAsia"/>
          <w:b/>
          <w:szCs w:val="30"/>
        </w:rPr>
        <w:t>3、</w:t>
      </w:r>
      <w:r w:rsidRPr="0091454F">
        <w:rPr>
          <w:rFonts w:hint="eastAsia"/>
          <w:b/>
          <w:szCs w:val="30"/>
        </w:rPr>
        <w:t>在保修范围和期限内，如需要更换零部件，所供零部件的性能和作用不低于</w:t>
      </w:r>
      <w:proofErr w:type="gramStart"/>
      <w:r w:rsidRPr="0091454F">
        <w:rPr>
          <w:rFonts w:hint="eastAsia"/>
          <w:b/>
          <w:szCs w:val="30"/>
        </w:rPr>
        <w:t>本需求</w:t>
      </w:r>
      <w:proofErr w:type="gramEnd"/>
      <w:r w:rsidRPr="0091454F">
        <w:rPr>
          <w:rFonts w:hint="eastAsia"/>
          <w:b/>
          <w:szCs w:val="30"/>
        </w:rPr>
        <w:t>配置。</w:t>
      </w:r>
    </w:p>
    <w:p w:rsidR="00154D01" w:rsidRDefault="0091454F" w:rsidP="0091454F">
      <w:pPr>
        <w:pStyle w:val="a6"/>
        <w:spacing w:before="0" w:beforeAutospacing="0" w:after="0" w:afterAutospacing="0"/>
        <w:jc w:val="both"/>
        <w:rPr>
          <w:b/>
          <w:szCs w:val="30"/>
        </w:rPr>
      </w:pPr>
      <w:r>
        <w:rPr>
          <w:rFonts w:hint="eastAsia"/>
          <w:b/>
          <w:szCs w:val="30"/>
        </w:rPr>
        <w:t>4、</w:t>
      </w:r>
      <w:r w:rsidRPr="0091454F">
        <w:rPr>
          <w:rFonts w:hint="eastAsia"/>
          <w:b/>
          <w:szCs w:val="30"/>
        </w:rPr>
        <w:t>保修期满后，提供</w:t>
      </w:r>
      <w:proofErr w:type="gramStart"/>
      <w:r w:rsidRPr="0091454F">
        <w:rPr>
          <w:rFonts w:hint="eastAsia"/>
          <w:b/>
          <w:szCs w:val="30"/>
        </w:rPr>
        <w:t>终身维保服务</w:t>
      </w:r>
      <w:proofErr w:type="gramEnd"/>
    </w:p>
    <w:p w:rsidR="00A72B94" w:rsidRPr="0091454F" w:rsidRDefault="00A72B94" w:rsidP="0091454F">
      <w:pPr>
        <w:pStyle w:val="a6"/>
        <w:spacing w:before="0" w:beforeAutospacing="0" w:after="0" w:afterAutospacing="0"/>
        <w:jc w:val="both"/>
        <w:rPr>
          <w:b/>
          <w:szCs w:val="30"/>
        </w:rPr>
      </w:pPr>
      <w:r>
        <w:rPr>
          <w:rFonts w:hint="eastAsia"/>
          <w:b/>
          <w:szCs w:val="30"/>
        </w:rPr>
        <w:t>5、</w:t>
      </w:r>
      <w:r w:rsidRPr="00A72B94">
        <w:rPr>
          <w:rFonts w:hint="eastAsia"/>
          <w:b/>
          <w:szCs w:val="30"/>
        </w:rPr>
        <w:t>本次报价含运输、安装、调试、税费等一切费用。</w:t>
      </w:r>
    </w:p>
    <w:p w:rsidR="00573215" w:rsidRDefault="00573215" w:rsidP="00E81E5B">
      <w:pPr>
        <w:pStyle w:val="a6"/>
        <w:rPr>
          <w:b/>
          <w:szCs w:val="28"/>
        </w:rPr>
      </w:pPr>
    </w:p>
    <w:p w:rsidR="00573215" w:rsidRDefault="00573215" w:rsidP="00E81E5B">
      <w:pPr>
        <w:pStyle w:val="a6"/>
        <w:rPr>
          <w:b/>
          <w:szCs w:val="28"/>
        </w:rPr>
      </w:pPr>
    </w:p>
    <w:p w:rsidR="00154D01" w:rsidRPr="00A72B94" w:rsidRDefault="0091454F" w:rsidP="00E81E5B">
      <w:pPr>
        <w:pStyle w:val="a6"/>
        <w:rPr>
          <w:b/>
          <w:szCs w:val="28"/>
        </w:rPr>
      </w:pPr>
      <w:r w:rsidRPr="00A72B94">
        <w:rPr>
          <w:rFonts w:hint="eastAsia"/>
          <w:b/>
          <w:szCs w:val="28"/>
        </w:rPr>
        <w:lastRenderedPageBreak/>
        <w:t>（三）</w:t>
      </w:r>
      <w:r w:rsidR="00154D01" w:rsidRPr="00A72B94">
        <w:rPr>
          <w:rFonts w:hint="eastAsia"/>
          <w:b/>
          <w:szCs w:val="28"/>
        </w:rPr>
        <w:t>监控安装示意图</w:t>
      </w:r>
    </w:p>
    <w:p w:rsidR="00154D01" w:rsidRDefault="00154D01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/>
          <w:b/>
          <w:noProof/>
          <w:sz w:val="28"/>
          <w:szCs w:val="28"/>
        </w:rPr>
        <w:drawing>
          <wp:inline distT="0" distB="0" distL="0" distR="0">
            <wp:extent cx="5274310" cy="4026260"/>
            <wp:effectExtent l="19050" t="0" r="2540" b="0"/>
            <wp:docPr id="1" name="图片 1" descr="C:\Users\user\Desktop\PJF5@%NMZXP[O}RP{0C7S2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JF5@%NMZXP[O}RP{0C7S2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573215" w:rsidRDefault="00573215" w:rsidP="00573215">
      <w:pPr>
        <w:rPr>
          <w:rFonts w:ascii="仿宋_GB2312" w:eastAsia="仿宋_GB2312" w:hAnsi="仿宋_GB2312" w:cs="仿宋_GB2312"/>
          <w:b/>
          <w:bCs/>
          <w:sz w:val="24"/>
        </w:rPr>
      </w:pPr>
      <w:r w:rsidRPr="00573215"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附件四</w:t>
      </w:r>
      <w:r>
        <w:rPr>
          <w:rFonts w:ascii="仿宋_GB2312" w:eastAsia="仿宋_GB2312" w:hAnsi="仿宋_GB2312" w:cs="仿宋_GB2312" w:hint="eastAsia"/>
          <w:b/>
          <w:bCs/>
          <w:sz w:val="24"/>
        </w:rPr>
        <w:t>：</w:t>
      </w:r>
    </w:p>
    <w:p w:rsidR="00573215" w:rsidRPr="00573215" w:rsidRDefault="00573215" w:rsidP="00573215">
      <w:pPr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南通中专机电省赛监控项目采购报价单</w:t>
      </w:r>
    </w:p>
    <w:tbl>
      <w:tblPr>
        <w:tblW w:w="10206" w:type="dxa"/>
        <w:tblInd w:w="-79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0"/>
        <w:gridCol w:w="1276"/>
        <w:gridCol w:w="789"/>
        <w:gridCol w:w="1054"/>
        <w:gridCol w:w="992"/>
        <w:gridCol w:w="1418"/>
        <w:gridCol w:w="3917"/>
      </w:tblGrid>
      <w:tr w:rsidR="00573215" w:rsidRPr="00000156" w:rsidTr="00794188">
        <w:trPr>
          <w:trHeight w:val="5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项目内容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单 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>合计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Cs w:val="21"/>
              </w:rPr>
              <w:t xml:space="preserve">说明 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网络枪式摄像机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DS-2CD5A24EFWD-IZ(H)(S）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摄像机支架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铝合金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摄像机电源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proofErr w:type="gramStart"/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AC 12V-3A 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金城RVV2*2.5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网络线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金城超五类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交换机（机房设备）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TP-LINK 8口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proofErr w:type="gramStart"/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海康威视4路</w:t>
            </w:r>
            <w:proofErr w:type="gramEnd"/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网络4K高清监控硬盘录像机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三星21.5寸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监控硬盘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西部数据 4T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三星移动固态硬盘T3  500G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线管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三德</w:t>
            </w:r>
          </w:p>
        </w:tc>
      </w:tr>
      <w:tr w:rsidR="00573215" w:rsidRPr="00000156" w:rsidTr="00794188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安装 调试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0015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573215" w:rsidRPr="00000156" w:rsidTr="00794188">
        <w:trPr>
          <w:trHeight w:val="600"/>
        </w:trPr>
        <w:tc>
          <w:tcPr>
            <w:tcW w:w="4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合计报价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215" w:rsidRPr="00000156" w:rsidRDefault="00573215" w:rsidP="0079418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                   元</w:t>
            </w:r>
          </w:p>
        </w:tc>
      </w:tr>
    </w:tbl>
    <w:p w:rsidR="00154D01" w:rsidRDefault="00154D01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154D01" w:rsidRDefault="00573215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/>
          <w:b/>
          <w:sz w:val="28"/>
          <w:szCs w:val="28"/>
        </w:rPr>
        <w:t>售后服务承诺</w:t>
      </w:r>
      <w:r>
        <w:rPr>
          <w:rFonts w:ascii="仿宋_GB2312" w:eastAsia="仿宋_GB2312" w:hAnsi="Times New Roman" w:hint="eastAsia"/>
          <w:b/>
          <w:sz w:val="28"/>
          <w:szCs w:val="28"/>
        </w:rPr>
        <w:t>：</w:t>
      </w:r>
    </w:p>
    <w:p w:rsidR="00154D01" w:rsidRDefault="00154D01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</w:p>
    <w:p w:rsidR="00154D01" w:rsidRDefault="00154D01" w:rsidP="00154D01">
      <w:pPr>
        <w:pStyle w:val="a6"/>
        <w:spacing w:before="0" w:beforeAutospacing="0" w:after="0" w:afterAutospacing="0"/>
        <w:ind w:firstLineChars="1600" w:firstLine="4498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报价单位（盖章）：</w:t>
      </w:r>
    </w:p>
    <w:p w:rsidR="00154D01" w:rsidRDefault="00154D01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/>
          <w:b/>
          <w:sz w:val="28"/>
          <w:szCs w:val="28"/>
        </w:rPr>
        <w:t xml:space="preserve">                                </w:t>
      </w:r>
      <w:r>
        <w:rPr>
          <w:rFonts w:ascii="仿宋_GB2312" w:eastAsia="仿宋_GB2312" w:hAnsi="Times New Roman" w:hint="eastAsia"/>
          <w:b/>
          <w:sz w:val="28"/>
          <w:szCs w:val="28"/>
        </w:rPr>
        <w:t>联</w:t>
      </w:r>
      <w:r>
        <w:rPr>
          <w:rFonts w:ascii="仿宋_GB2312" w:eastAsia="仿宋_GB2312" w:hAnsi="Times New Roman"/>
          <w:b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b/>
          <w:sz w:val="28"/>
          <w:szCs w:val="28"/>
        </w:rPr>
        <w:t>系</w:t>
      </w:r>
      <w:r>
        <w:rPr>
          <w:rFonts w:ascii="仿宋_GB2312" w:eastAsia="仿宋_GB2312" w:hAnsi="Times New Roman"/>
          <w:b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b/>
          <w:sz w:val="28"/>
          <w:szCs w:val="28"/>
        </w:rPr>
        <w:t>人（签名）：</w:t>
      </w:r>
    </w:p>
    <w:p w:rsidR="00154D01" w:rsidRDefault="00154D01" w:rsidP="00154D01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/>
          <w:b/>
          <w:sz w:val="28"/>
          <w:szCs w:val="28"/>
        </w:rPr>
        <w:t xml:space="preserve">                                </w:t>
      </w:r>
      <w:r>
        <w:rPr>
          <w:rFonts w:ascii="仿宋_GB2312" w:eastAsia="仿宋_GB2312" w:hAnsi="Times New Roman" w:hint="eastAsia"/>
          <w:b/>
          <w:sz w:val="28"/>
          <w:szCs w:val="28"/>
        </w:rPr>
        <w:t>联系电话：</w:t>
      </w:r>
    </w:p>
    <w:p w:rsidR="00B638C1" w:rsidRPr="00E81E5B" w:rsidRDefault="00154D01" w:rsidP="00E81E5B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/>
          <w:b/>
          <w:sz w:val="28"/>
          <w:szCs w:val="28"/>
        </w:rPr>
        <w:t xml:space="preserve">                                报价日期</w:t>
      </w:r>
      <w:r>
        <w:rPr>
          <w:rFonts w:ascii="仿宋_GB2312" w:eastAsia="仿宋_GB2312" w:hAnsi="Times New Roman" w:hint="eastAsia"/>
          <w:b/>
          <w:sz w:val="28"/>
          <w:szCs w:val="28"/>
        </w:rPr>
        <w:t>：</w:t>
      </w:r>
    </w:p>
    <w:sectPr w:rsidR="00B638C1" w:rsidRPr="00E81E5B" w:rsidSect="00E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88" w:rsidRDefault="00281688" w:rsidP="00154D01">
      <w:r>
        <w:separator/>
      </w:r>
    </w:p>
  </w:endnote>
  <w:endnote w:type="continuationSeparator" w:id="0">
    <w:p w:rsidR="00281688" w:rsidRDefault="00281688" w:rsidP="001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88" w:rsidRDefault="00281688" w:rsidP="00154D01">
      <w:r>
        <w:separator/>
      </w:r>
    </w:p>
  </w:footnote>
  <w:footnote w:type="continuationSeparator" w:id="0">
    <w:p w:rsidR="00281688" w:rsidRDefault="00281688" w:rsidP="0015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01"/>
    <w:rsid w:val="00154D01"/>
    <w:rsid w:val="00281688"/>
    <w:rsid w:val="00551DF5"/>
    <w:rsid w:val="00560277"/>
    <w:rsid w:val="00573215"/>
    <w:rsid w:val="00652DA9"/>
    <w:rsid w:val="0076319C"/>
    <w:rsid w:val="00805110"/>
    <w:rsid w:val="00860584"/>
    <w:rsid w:val="0091454F"/>
    <w:rsid w:val="00935D93"/>
    <w:rsid w:val="00A72B94"/>
    <w:rsid w:val="00B638C1"/>
    <w:rsid w:val="00CF2B62"/>
    <w:rsid w:val="00E81E5B"/>
    <w:rsid w:val="00FB4153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01"/>
    <w:rPr>
      <w:sz w:val="18"/>
      <w:szCs w:val="18"/>
    </w:rPr>
  </w:style>
  <w:style w:type="paragraph" w:styleId="a5">
    <w:name w:val="Normal Indent"/>
    <w:basedOn w:val="a"/>
    <w:uiPriority w:val="99"/>
    <w:rsid w:val="00154D0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qFormat/>
    <w:rsid w:val="00154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54D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4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01"/>
    <w:rPr>
      <w:sz w:val="18"/>
      <w:szCs w:val="18"/>
    </w:rPr>
  </w:style>
  <w:style w:type="paragraph" w:styleId="a5">
    <w:name w:val="Normal Indent"/>
    <w:basedOn w:val="a"/>
    <w:uiPriority w:val="99"/>
    <w:rsid w:val="00154D0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qFormat/>
    <w:rsid w:val="00154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54D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4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F11FA-84B6-43CE-BF99-9EA60B16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蒋大峰</dc:creator>
  <cp:keywords/>
  <dc:description/>
  <cp:lastModifiedBy>CYS</cp:lastModifiedBy>
  <cp:revision>2</cp:revision>
  <cp:lastPrinted>2016-12-08T07:59:00Z</cp:lastPrinted>
  <dcterms:created xsi:type="dcterms:W3CDTF">2016-12-08T08:31:00Z</dcterms:created>
  <dcterms:modified xsi:type="dcterms:W3CDTF">2016-12-08T08:31:00Z</dcterms:modified>
</cp:coreProperties>
</file>